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shd w:val="clear"/>
        <w:tblLayout w:type="fixed"/>
        <w:tblCellMar>
          <w:top w:w="0" w:type="dxa"/>
          <w:left w:w="0" w:type="dxa"/>
          <w:bottom w:w="0" w:type="dxa"/>
          <w:right w:w="0" w:type="dxa"/>
        </w:tblCellMar>
      </w:tblPr>
      <w:tblGrid>
        <w:gridCol w:w="729"/>
        <w:gridCol w:w="3573"/>
        <w:gridCol w:w="1377"/>
        <w:gridCol w:w="1530"/>
        <w:gridCol w:w="3559"/>
      </w:tblGrid>
      <w:tr>
        <w:tblPrEx>
          <w:tblCellMar>
            <w:top w:w="0" w:type="dxa"/>
            <w:left w:w="0" w:type="dxa"/>
            <w:bottom w:w="0" w:type="dxa"/>
            <w:right w:w="0" w:type="dxa"/>
          </w:tblCellMar>
        </w:tblPrEx>
        <w:trPr>
          <w:trHeight w:val="8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2020年10月法律法规更新清单</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NO.</w:t>
            </w:r>
            <w:bookmarkStart w:id="0" w:name="_GoBack"/>
            <w:bookmarkEnd w:id="0"/>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名称</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颁布日期</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实施日期</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bdr w:val="none" w:color="auto" w:sz="0" w:space="0"/>
                <w:lang w:val="en-US" w:eastAsia="zh-CN" w:bidi="ar"/>
              </w:rPr>
              <w:t>来源</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综合能耗计算通则（GB/T 2589-2020）（正在收录）</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2021.04.01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https://www.ehs.cn/law/113773.html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船舶与海上技术 船舶消防员装备（防护服、手套、靴子和头盔）（GB/T 39098-2020）（正在收录）</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2021.04.01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https://www.ehs.cn/law/113772.html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自动扶梯和自动人行道安全要求 第1部分：基本安全要求（GB/T 39078.1-2020）（正在收录）</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2021.04.01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https://www.ehs.cn/law/113771.html</w:t>
            </w:r>
          </w:p>
        </w:tc>
      </w:tr>
      <w:tr>
        <w:tblPrEx>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生产经营单位生产安全事故应急预案编制导则（GB/T 29639-2020）（正在收录）</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2021.04.01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https://www.ehs.cn/law/113770.html</w:t>
            </w:r>
          </w:p>
        </w:tc>
      </w:tr>
      <w:tr>
        <w:tblPrEx>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5</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燃料电池电动汽车 安全要求（GB/T 24549-2020）（正在收录）</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2021.04.01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https://www.ehs.cn/law/113769.html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中华人民共和国国家标准公告2020年第20号</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https://www.ehs.cn/law/113767.html</w:t>
            </w:r>
          </w:p>
        </w:tc>
      </w:tr>
      <w:tr>
        <w:tblPrEx>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吉林省应急管理厅关于深入推进工贸企业安全监管执法工作的通知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https://www.ehs.cn/law/113702.html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重庆市公共场所控制吸烟条例</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https://www.ehs.cn/law/113698.html</w:t>
            </w:r>
          </w:p>
        </w:tc>
      </w:tr>
      <w:tr>
        <w:tblPrEx>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w:t>
            </w:r>
          </w:p>
        </w:tc>
        <w:tc>
          <w:tcPr>
            <w:tcW w:w="1659"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市场监管总局办公厅关于开展电线电缆和防爆电气产品质量安全专项整治的通知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FF"/>
                <w:sz w:val="20"/>
                <w:szCs w:val="20"/>
                <w:u w:val="single"/>
              </w:rPr>
            </w:pPr>
            <w:r>
              <w:rPr>
                <w:rFonts w:hint="eastAsia" w:ascii="宋体" w:hAnsi="宋体" w:eastAsia="宋体" w:cs="宋体"/>
                <w:i w:val="0"/>
                <w:color w:val="0000FF"/>
                <w:kern w:val="0"/>
                <w:sz w:val="20"/>
                <w:szCs w:val="20"/>
                <w:u w:val="single"/>
                <w:bdr w:val="none" w:color="auto" w:sz="0" w:space="0"/>
                <w:lang w:val="en-US" w:eastAsia="zh-CN" w:bidi="ar"/>
              </w:rPr>
              <w:t>https://www.ehs.cn/law/113623.html</w:t>
            </w:r>
          </w:p>
        </w:tc>
      </w:tr>
      <w:tr>
        <w:tblPrEx>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1659"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关于进一步提高认识 规范程序 扎实做好重污染天气重点行业绩效分级有关工作的通知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https://www.ehs.cn/law/113621.html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东莞市人民代表大会常务委员会关于废止《东莞市禁止在市区销售燃放烟花爆竹的规定》的决定</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2020.09.30</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2020.09.30</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https://www.ehs.cn/law/113783.html</w:t>
            </w:r>
          </w:p>
        </w:tc>
      </w:tr>
      <w:tr>
        <w:tblPrEx>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浙江省安全生产委员会办公室关于印发《浙江省硝酸铵等危险化学品安全风险隐患第三轮专项排查治理工作方案》的通知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2020.09.30</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2020.09.30</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FF"/>
                <w:sz w:val="20"/>
                <w:szCs w:val="20"/>
                <w:u w:val="single"/>
              </w:rPr>
            </w:pPr>
            <w:r>
              <w:rPr>
                <w:rFonts w:hint="eastAsia" w:ascii="宋体" w:hAnsi="宋体" w:eastAsia="宋体" w:cs="宋体"/>
                <w:i w:val="0"/>
                <w:color w:val="0000FF"/>
                <w:kern w:val="0"/>
                <w:sz w:val="20"/>
                <w:szCs w:val="20"/>
                <w:u w:val="single"/>
                <w:bdr w:val="none" w:color="auto" w:sz="0" w:space="0"/>
                <w:lang w:val="en-US" w:eastAsia="zh-CN" w:bidi="ar"/>
              </w:rPr>
              <w:t>https://www.ehs.cn/law/113669.html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浙江省应急管理厅关于印发《安全生产考试点建设指导意见（2020年）》的通知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2020.09.30</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2020.09.30</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https://www.ehs.cn/law/113668.html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吉林省安全生产委员会关于印发《吉林省危险化学品道路运输安全集中整治实施方案》《吉林省非法违法“小化工”专项整治实施方案》的通知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2020.10.06</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2020.10.06</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https://www.ehs.cn/law/113703.html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15</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关于印发《江门市城区不利气象条件下大气污染防控联动工作机制（2020年修订版）》的通知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2020.10.09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2020.10.09</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https://www.ehs.cn/law/113788.html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《食品销售者食品安全主体责任 指南（试行）》解读</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2020.10.14</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2020.10.14</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single"/>
              </w:rPr>
            </w:pPr>
            <w:r>
              <w:rPr>
                <w:rFonts w:hint="eastAsia" w:ascii="宋体" w:hAnsi="宋体" w:eastAsia="宋体" w:cs="宋体"/>
                <w:i w:val="0"/>
                <w:color w:val="0000FF"/>
                <w:kern w:val="0"/>
                <w:sz w:val="20"/>
                <w:szCs w:val="20"/>
                <w:u w:val="single"/>
                <w:bdr w:val="none" w:color="auto" w:sz="0" w:space="0"/>
                <w:lang w:val="en-US" w:eastAsia="zh-CN" w:bidi="ar"/>
              </w:rPr>
              <w:t>http://gkml.samr.gov.cn/nsjg/xwxcs/202010/t20201014_322337.html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17</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《关于开展清理整治网络销售和宣传“特供”“专供”标识商品专项行动的通知》解读</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2020.10.14</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2020.10.14</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FF"/>
                <w:sz w:val="20"/>
                <w:szCs w:val="20"/>
                <w:u w:val="single"/>
              </w:rPr>
            </w:pPr>
            <w:r>
              <w:rPr>
                <w:rFonts w:hint="eastAsia" w:ascii="宋体" w:hAnsi="宋体" w:eastAsia="宋体" w:cs="宋体"/>
                <w:i w:val="0"/>
                <w:color w:val="0000FF"/>
                <w:kern w:val="0"/>
                <w:sz w:val="20"/>
                <w:szCs w:val="20"/>
                <w:u w:val="single"/>
                <w:bdr w:val="none" w:color="auto" w:sz="0" w:space="0"/>
                <w:lang w:val="en-US" w:eastAsia="zh-CN" w:bidi="ar"/>
              </w:rPr>
              <w:t>http://gkml.samr.gov.cn/nsjg/xwxcs/202010/t20201014_322338.html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交通运输部关于印发《水运工程建设标准管理办法》的通知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2020.09.25</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2020.09.25</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http://www.law-lib.com/law/law_view.asp?id=701631</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中共中央、国务院印发《深化新时代教育评价改革总体方案》</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2020.10.13</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2020.10.13</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1A2930"/>
                <w:sz w:val="20"/>
                <w:szCs w:val="20"/>
                <w:u w:val="none"/>
              </w:rPr>
            </w:pPr>
            <w:r>
              <w:rPr>
                <w:rFonts w:hint="eastAsia" w:ascii="宋体" w:hAnsi="宋体" w:eastAsia="宋体" w:cs="宋体"/>
                <w:i w:val="0"/>
                <w:color w:val="1A2930"/>
                <w:kern w:val="0"/>
                <w:sz w:val="20"/>
                <w:szCs w:val="20"/>
                <w:u w:val="none"/>
                <w:bdr w:val="none" w:color="auto" w:sz="0" w:space="0"/>
                <w:lang w:val="en-US" w:eastAsia="zh-CN" w:bidi="ar"/>
              </w:rPr>
              <w:t>http://www.gov.cn/zhengce/2020-10/13/content_5551032.htm</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w:t>
            </w:r>
          </w:p>
        </w:tc>
        <w:tc>
          <w:tcPr>
            <w:tcW w:w="1659" w:type="pc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中山市生态环境局关于做好建设项目竣工环境保护验收监管事项的通告</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2020.10.15</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2020.10.15</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https://www.ehs.cn/law/113854.html</w:t>
            </w:r>
          </w:p>
        </w:tc>
      </w:tr>
      <w:tr>
        <w:tblPrEx>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21</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广东省生态环境厅关于下达2020年省内流域横向生态补偿项目计划的通知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2020.10.15</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2020.10.15</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https://www.ehs.cn/law/113848.html</w:t>
            </w:r>
          </w:p>
        </w:tc>
      </w:tr>
      <w:tr>
        <w:tblPrEx>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22</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广东省生态环境厅办公室关于洗砂及石材加工项目环境影响评价有关问题的复函</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2020.10.15</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2020.10.15</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https://www.ehs.cn/law/113847.html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23</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关于深入推进重点行业清洁生产审核工作的通知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2020.10.15</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2020.10.15</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https://www.ehs.cn/law/113842.html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24</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关于规范再生黄铜原料、再生铜原料和再生铸造铝合金原料进口管理有关事项的公告</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2020.10.16</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2020.10.16</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https://www.ehs.cn/law/113822.html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25</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中华人民共和国未成年人保护法（2020年修订）</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2020.10.17</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2021.06.01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https://www.ehs.cn/law/113841.html</w:t>
            </w:r>
          </w:p>
        </w:tc>
      </w:tr>
      <w:tr>
        <w:tblPrEx>
          <w:shd w:val="clear"/>
          <w:tblCellMar>
            <w:top w:w="0" w:type="dxa"/>
            <w:left w:w="0" w:type="dxa"/>
            <w:bottom w:w="0" w:type="dxa"/>
            <w:right w:w="0" w:type="dxa"/>
          </w:tblCellMar>
        </w:tblPrEx>
        <w:trPr>
          <w:trHeight w:val="80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26</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惠州市扬尘污染防治条例</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https://www.ehs.cn/law/113914.html</w:t>
            </w:r>
          </w:p>
        </w:tc>
      </w:tr>
      <w:tr>
        <w:tblPrEx>
          <w:shd w:val="clear"/>
          <w:tblCellMar>
            <w:top w:w="0" w:type="dxa"/>
            <w:left w:w="0" w:type="dxa"/>
            <w:bottom w:w="0" w:type="dxa"/>
            <w:right w:w="0" w:type="dxa"/>
          </w:tblCellMar>
        </w:tblPrEx>
        <w:trPr>
          <w:trHeight w:val="72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27</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大连市生活垃圾分类管理条例</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FF"/>
                <w:sz w:val="20"/>
                <w:szCs w:val="20"/>
                <w:u w:val="single"/>
              </w:rPr>
            </w:pPr>
            <w:r>
              <w:rPr>
                <w:rFonts w:hint="eastAsia" w:ascii="宋体" w:hAnsi="宋体" w:eastAsia="宋体" w:cs="宋体"/>
                <w:i w:val="0"/>
                <w:color w:val="0000FF"/>
                <w:kern w:val="0"/>
                <w:sz w:val="20"/>
                <w:szCs w:val="20"/>
                <w:u w:val="single"/>
                <w:bdr w:val="none" w:color="auto" w:sz="0" w:space="0"/>
                <w:lang w:val="en-US" w:eastAsia="zh-CN" w:bidi="ar"/>
              </w:rPr>
              <w:t>https://www.ehs.cn/law/113912.html</w:t>
            </w:r>
          </w:p>
        </w:tc>
      </w:tr>
      <w:tr>
        <w:tblPrEx>
          <w:shd w:val="clear"/>
          <w:tblCellMar>
            <w:top w:w="0" w:type="dxa"/>
            <w:left w:w="0" w:type="dxa"/>
            <w:bottom w:w="0" w:type="dxa"/>
            <w:right w:w="0" w:type="dxa"/>
          </w:tblCellMar>
        </w:tblPrEx>
        <w:trPr>
          <w:trHeight w:val="72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28</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巴彦淖尔市农药污染防治条例（2020年修订）</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2020.10.20</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2021.01.01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https://www.ehs.cn/law/113923.html</w:t>
            </w:r>
          </w:p>
        </w:tc>
      </w:tr>
      <w:tr>
        <w:tblPrEx>
          <w:shd w:val="clear"/>
          <w:tblCellMar>
            <w:top w:w="0" w:type="dxa"/>
            <w:left w:w="0" w:type="dxa"/>
            <w:bottom w:w="0" w:type="dxa"/>
            <w:right w:w="0" w:type="dxa"/>
          </w:tblCellMar>
        </w:tblPrEx>
        <w:trPr>
          <w:trHeight w:val="72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蚌埠市人民代表大会常务委员会关于修改《蚌埠市城市生活垃圾管理条例》的决定</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2020.10.20</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2020.10.20</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https://www.ehs.cn/law/113922.html</w:t>
            </w:r>
          </w:p>
        </w:tc>
      </w:tr>
      <w:tr>
        <w:tblPrEx>
          <w:shd w:val="clear"/>
          <w:tblCellMar>
            <w:top w:w="0" w:type="dxa"/>
            <w:left w:w="0" w:type="dxa"/>
            <w:bottom w:w="0" w:type="dxa"/>
            <w:right w:w="0" w:type="dxa"/>
          </w:tblCellMar>
        </w:tblPrEx>
        <w:trPr>
          <w:trHeight w:val="72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30</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蚌埠市城市生活垃圾管理条例（2020年修订）</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2020.10.20</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2020.10.20</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https://www.ehs.cn/law/113921.html</w:t>
            </w:r>
          </w:p>
        </w:tc>
      </w:tr>
      <w:tr>
        <w:tblPrEx>
          <w:tblCellMar>
            <w:top w:w="0" w:type="dxa"/>
            <w:left w:w="0" w:type="dxa"/>
            <w:bottom w:w="0" w:type="dxa"/>
            <w:right w:w="0" w:type="dxa"/>
          </w:tblCellMar>
        </w:tblPrEx>
        <w:trPr>
          <w:trHeight w:val="72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31</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延安市延河流域水污染防治条例</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2020.10.20</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https://www.ehs.cn/law/113920.html</w:t>
            </w:r>
          </w:p>
        </w:tc>
      </w:tr>
      <w:tr>
        <w:tblPrEx>
          <w:shd w:val="clear"/>
          <w:tblCellMar>
            <w:top w:w="0" w:type="dxa"/>
            <w:left w:w="0" w:type="dxa"/>
            <w:bottom w:w="0" w:type="dxa"/>
            <w:right w:w="0" w:type="dxa"/>
          </w:tblCellMar>
        </w:tblPrEx>
        <w:trPr>
          <w:trHeight w:val="72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32</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呼和浩特市节约用水管理条例（2020年修订）</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2020.10.22</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2020.10.22</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https://www.ehs.cn/law/113919.html</w:t>
            </w:r>
          </w:p>
        </w:tc>
      </w:tr>
      <w:tr>
        <w:tblPrEx>
          <w:tblCellMar>
            <w:top w:w="0" w:type="dxa"/>
            <w:left w:w="0" w:type="dxa"/>
            <w:bottom w:w="0" w:type="dxa"/>
            <w:right w:w="0" w:type="dxa"/>
          </w:tblCellMar>
        </w:tblPrEx>
        <w:trPr>
          <w:trHeight w:val="72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呼和浩特市人民代表大会常务委员会关于修改《呼和浩特市节约用水管理条例》的决定</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2020.10.22</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2020.10.22</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https://www.ehs.cn/law/113918.html</w:t>
            </w:r>
          </w:p>
        </w:tc>
      </w:tr>
      <w:tr>
        <w:tblPrEx>
          <w:shd w:val="clear"/>
          <w:tblCellMar>
            <w:top w:w="0" w:type="dxa"/>
            <w:left w:w="0" w:type="dxa"/>
            <w:bottom w:w="0" w:type="dxa"/>
            <w:right w:w="0" w:type="dxa"/>
          </w:tblCellMar>
        </w:tblPrEx>
        <w:trPr>
          <w:trHeight w:val="72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益阳市扬尘污染防治条例</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2020.10.26</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2020.11.01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https://www.ehs.cn/law/113917.html</w:t>
            </w:r>
          </w:p>
        </w:tc>
      </w:tr>
      <w:tr>
        <w:tblPrEx>
          <w:shd w:val="clear"/>
          <w:tblCellMar>
            <w:top w:w="0" w:type="dxa"/>
            <w:left w:w="0" w:type="dxa"/>
            <w:bottom w:w="0" w:type="dxa"/>
            <w:right w:w="0" w:type="dxa"/>
          </w:tblCellMar>
        </w:tblPrEx>
        <w:trPr>
          <w:trHeight w:val="74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35</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国家科学技术奖励条例</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2020.10.07</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2020.12.01</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http://www.law-lib.com/law/law_view.asp?id=704002</w:t>
            </w:r>
          </w:p>
        </w:tc>
      </w:tr>
      <w:tr>
        <w:tblPrEx>
          <w:shd w:val="clear"/>
          <w:tblCellMar>
            <w:top w:w="0" w:type="dxa"/>
            <w:left w:w="0" w:type="dxa"/>
            <w:bottom w:w="0" w:type="dxa"/>
            <w:right w:w="0" w:type="dxa"/>
          </w:tblCellMar>
        </w:tblPrEx>
        <w:trPr>
          <w:trHeight w:val="74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国家发展改革委办公厅关于进一步做好《必须招标的工程项目规定》和《必须招标的基础设施和公用事业项目范围规定》实施工作的通知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2020.10.19</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http://www.law-lib.com/law/law_view.asp?id=703737</w:t>
            </w:r>
          </w:p>
        </w:tc>
      </w:tr>
      <w:tr>
        <w:tblPrEx>
          <w:shd w:val="clear"/>
          <w:tblCellMar>
            <w:top w:w="0" w:type="dxa"/>
            <w:left w:w="0" w:type="dxa"/>
            <w:bottom w:w="0" w:type="dxa"/>
            <w:right w:w="0" w:type="dxa"/>
          </w:tblCellMar>
        </w:tblPrEx>
        <w:trPr>
          <w:trHeight w:val="74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关于政府采购支持绿色建材促进建筑品质提升试点工作的通知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2020.10.13</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2020.10.13</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http://gks.mof.gov.cn/guizhangzhidu/202010/t20201020_3607440.htm</w:t>
            </w:r>
          </w:p>
        </w:tc>
      </w:tr>
      <w:tr>
        <w:tblPrEx>
          <w:shd w:val="clear"/>
          <w:tblCellMar>
            <w:top w:w="0" w:type="dxa"/>
            <w:left w:w="0" w:type="dxa"/>
            <w:bottom w:w="0" w:type="dxa"/>
            <w:right w:w="0" w:type="dxa"/>
          </w:tblCellMar>
        </w:tblPrEx>
        <w:trPr>
          <w:trHeight w:val="74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关于《关于促进非水可再生能源发电健康发展的若干意见》有关事项的补充通知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2020.09.29</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http://jjs.mof.gov.cn/zhengcefagui/202010/t20201015_3604104.htm</w:t>
            </w:r>
          </w:p>
        </w:tc>
      </w:tr>
      <w:tr>
        <w:tblPrEx>
          <w:shd w:val="clear"/>
          <w:tblCellMar>
            <w:top w:w="0" w:type="dxa"/>
            <w:left w:w="0" w:type="dxa"/>
            <w:bottom w:w="0" w:type="dxa"/>
            <w:right w:w="0" w:type="dxa"/>
          </w:tblCellMar>
        </w:tblPrEx>
        <w:trPr>
          <w:trHeight w:val="74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39</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关于印发《政府会计准则制度解释第3号》的通知</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2020.10.20</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2020.10.20</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http://www.law-lib.com/law/law_view.asp?id=703498</w:t>
            </w:r>
          </w:p>
        </w:tc>
      </w:tr>
      <w:tr>
        <w:tblPrEx>
          <w:shd w:val="clear"/>
          <w:tblCellMar>
            <w:top w:w="0" w:type="dxa"/>
            <w:left w:w="0" w:type="dxa"/>
            <w:bottom w:w="0" w:type="dxa"/>
            <w:right w:w="0" w:type="dxa"/>
          </w:tblCellMar>
        </w:tblPrEx>
        <w:trPr>
          <w:trHeight w:val="740" w:hRule="atLeast"/>
        </w:trPr>
        <w:tc>
          <w:tcPr>
            <w:tcW w:w="33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40</w:t>
            </w:r>
          </w:p>
        </w:tc>
        <w:tc>
          <w:tcPr>
            <w:tcW w:w="165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最高人民检察院关于全面履行检察职能依法服务和保障自由贸易试验区建设的意见</w:t>
            </w:r>
          </w:p>
        </w:tc>
        <w:tc>
          <w:tcPr>
            <w:tcW w:w="63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2020.10.24</w:t>
            </w:r>
          </w:p>
        </w:tc>
        <w:tc>
          <w:tcPr>
            <w:tcW w:w="710"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2020.10.24</w:t>
            </w:r>
          </w:p>
        </w:tc>
        <w:tc>
          <w:tcPr>
            <w:tcW w:w="165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http://www.law-lib.com/law/law_view.asp?id=704238</w:t>
            </w:r>
          </w:p>
        </w:tc>
      </w:tr>
    </w:tbl>
    <w:p/>
    <w:sectPr>
      <w:pgSz w:w="11906" w:h="16838"/>
      <w:pgMar w:top="1440" w:right="669" w:bottom="1440" w:left="49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3C4126"/>
    <w:rsid w:val="093C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2020-10-29T06:23:00Z</dcterms:created>
  <dc:creator>守望着远方，盼你的出现</dc:creator>
  <cp:lastModifiedBy>守望着远方，盼你的出现</cp:lastModifiedBy>
  <dcterms:modified xsi:type="dcterms:W3CDTF">2020-10-29T06:32:06Z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